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2023年度储量动态监管（储量报告实地复核）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201 保工资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2023年度储量动态监管（储量报告实地复核）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00"/>
        <w:gridCol w:w="570"/>
        <w:gridCol w:w="570"/>
        <w:gridCol w:w="570"/>
        <w:gridCol w:w="501"/>
        <w:gridCol w:w="501"/>
        <w:gridCol w:w="501"/>
        <w:gridCol w:w="840"/>
        <w:gridCol w:w="501"/>
        <w:gridCol w:w="570"/>
        <w:gridCol w:w="570"/>
        <w:gridCol w:w="570"/>
        <w:gridCol w:w="501"/>
        <w:gridCol w:w="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430639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Z01625 2023年度储量动态监管（储量报告实地复核）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2023年度储量动态监管（储量报告实地复核）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ind w:firstLine="3400" w:firstLineChars="1700"/>
              <w:jc w:val="both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为我市矿产资源的合理利用提供决策支援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9"/>
        <w:gridCol w:w="919"/>
        <w:gridCol w:w="925"/>
        <w:gridCol w:w="925"/>
        <w:gridCol w:w="925"/>
        <w:gridCol w:w="925"/>
        <w:gridCol w:w="925"/>
        <w:gridCol w:w="925"/>
        <w:gridCol w:w="94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持续矿产资源管理，摸清资源家底为市委市政府提供决策支撑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项目立项是否规范、项目资金是否经过审批、资金是否到位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未合规1项扣2分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参照省级政府采购标准（专家咨询费，内、外业工作补助标准）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资金是否到位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未到位扣1分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保护矿产资源和环境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准确掌握我市矿产资源储量家底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动态检测完成验收50家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未完成一家扣0.2分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按照相关行业标准完成项目核查工作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动态检测完成验收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未完成一家扣0.2分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成果时效性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一年内完成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未按时完成扣10分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保护矿产资源和环境，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合理利用资源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是否合理利用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未合理利用一宗扣1分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掌握矿产资源家底的准确性，对地勘单位、评审专家、矿山企业实施规范化管理管理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社会评价影响程度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造成社会负面影响一次扣2分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保护矿产资源和环境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矿产资源流失影响程度达10%扣1分，达20%扣5分，达30%扣10分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提高政府的公信力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矿山企业可持续发现影响程度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对矿山企业可持续发现影响程度低于90%扣1分，低于80%扣5分，低于70%扣10分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1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提高政府的公信力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eastAsia="仿宋_GB2312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theme="minorEastAsia"/>
                <w:kern w:val="0"/>
                <w:sz w:val="21"/>
                <w:szCs w:val="21"/>
                <w:lang w:val="en-US" w:eastAsia="zh-CN" w:bidi="ar-SA"/>
              </w:rPr>
              <w:t>10分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投诉量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bookmarkStart w:id="0" w:name="_GoBack"/>
            <w:r>
              <w:rPr>
                <w:rFonts w:hint="eastAsia" w:ascii="宋体"/>
                <w:sz w:val="18"/>
                <w:szCs w:val="18"/>
                <w:lang w:val="en-US" w:eastAsia="zh-CN"/>
              </w:rPr>
              <w:t>每增加一次投诉扣1分</w:t>
            </w:r>
            <w:bookmarkEnd w:id="0"/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宗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定性定量</w:t>
            </w:r>
          </w:p>
        </w:tc>
        <w:tc>
          <w:tcPr>
            <w:tcW w:w="56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mNGRkNTVkNWEzZDViY2IzOWFiOTYwODAzZWZkMmYifQ=="/>
  </w:docVars>
  <w:rsids>
    <w:rsidRoot w:val="00000000"/>
    <w:rsid w:val="05616E79"/>
    <w:rsid w:val="056E5B02"/>
    <w:rsid w:val="0EBC713D"/>
    <w:rsid w:val="142F3CF7"/>
    <w:rsid w:val="29090CCE"/>
    <w:rsid w:val="371C1E63"/>
    <w:rsid w:val="739F41F2"/>
    <w:rsid w:val="7778622D"/>
    <w:rsid w:val="797973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1030</Words>
  <Characters>1146</Characters>
  <TotalTime>1</TotalTime>
  <ScaleCrop>false</ScaleCrop>
  <LinksUpToDate>false</LinksUpToDate>
  <CharactersWithSpaces>1156</CharactersWithSpaces>
  <Application>WPS Office_11.1.0.11636_F1E327BC-269C-435d-A152-05C5408002CA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2022-12-29T09:13:00Z</dcterms:created>
  <dc:creator>Administrator</dc:creator>
  <cp:lastModifiedBy>王湘衡</cp:lastModifiedBy>
  <dcterms:modified xsi:type="dcterms:W3CDTF">2023-01-18T03:44:33Z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E0CDFE9C7EA14F55AEB19D1BE9E459E5</vt:lpwstr>
  </property>
</Properties>
</file>