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基本信息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2501"/>
        <w:gridCol w:w="1667"/>
        <w:gridCol w:w="250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项目名称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矿山超深越界检测及复核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项目来源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本级申报项目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申报属性(项目类型)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项目期限(年)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 xml:space="preserve">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起始年份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分配方式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因素法和项目法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联系人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联系电话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项目总金额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1800000.00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其中：社会投入资金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其中：银行贷款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是否追踪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是否基建项目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是否科研项目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热点分类（主题分类）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 保运转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项目分类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可执行项目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财政内部机构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自然资源和生态环境科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项目概述</w:t>
            </w:r>
          </w:p>
        </w:tc>
        <w:tc>
          <w:tcPr>
            <w:tcW w:w="4000" w:type="pct"/>
            <w:gridSpan w:val="3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矿山超深越界检测及复核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项目测算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0"/>
        <w:gridCol w:w="449"/>
        <w:gridCol w:w="570"/>
        <w:gridCol w:w="570"/>
        <w:gridCol w:w="570"/>
        <w:gridCol w:w="449"/>
        <w:gridCol w:w="449"/>
        <w:gridCol w:w="449"/>
        <w:gridCol w:w="930"/>
        <w:gridCol w:w="450"/>
        <w:gridCol w:w="660"/>
        <w:gridCol w:w="660"/>
        <w:gridCol w:w="660"/>
        <w:gridCol w:w="450"/>
        <w:gridCol w:w="450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单位编码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单位名称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项目任务明细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支出标准分类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计量单位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计算方式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支出标准值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测算依据及说明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085001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衡阳市自然资源和规划局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430568 标准模板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Z01574 矿山超深越界检测及复核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暂定标准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定额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1800000.00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1800000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1800000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1800000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矿山超深越界检测及复核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分年支出计划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89"/>
        <w:gridCol w:w="1389"/>
        <w:gridCol w:w="1389"/>
        <w:gridCol w:w="1389"/>
        <w:gridCol w:w="1390"/>
        <w:gridCol w:w="1390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银行贷款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社会投入资金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1800000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1800000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项目资产配置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90"/>
        <w:gridCol w:w="1191"/>
        <w:gridCol w:w="1191"/>
        <w:gridCol w:w="1191"/>
        <w:gridCol w:w="1191"/>
        <w:gridCol w:w="1191"/>
        <w:gridCol w:w="119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资产名称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资产数量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资产编制数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资产申请数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项目存量资产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68"/>
        <w:gridCol w:w="4168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2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资产代码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项目绩效目标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6669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年度目标</w:t>
            </w:r>
          </w:p>
        </w:tc>
        <w:tc>
          <w:tcPr>
            <w:tcW w:w="4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矿山超深越界检测及复核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项目绩效指标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15"/>
        <w:gridCol w:w="915"/>
        <w:gridCol w:w="925"/>
        <w:gridCol w:w="925"/>
        <w:gridCol w:w="925"/>
        <w:gridCol w:w="925"/>
        <w:gridCol w:w="925"/>
        <w:gridCol w:w="926"/>
        <w:gridCol w:w="955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000" w:type="pct"/>
            <w:gridSpan w:val="9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分解指标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49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一级指标</w:t>
            </w:r>
          </w:p>
        </w:tc>
        <w:tc>
          <w:tcPr>
            <w:tcW w:w="549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二级指标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三级指标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指标值内容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评（扣分标准）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度量单位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指标值类型</w:t>
            </w:r>
          </w:p>
        </w:tc>
        <w:tc>
          <w:tcPr>
            <w:tcW w:w="57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49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成本指标</w:t>
            </w:r>
          </w:p>
        </w:tc>
        <w:tc>
          <w:tcPr>
            <w:tcW w:w="549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经济成本指标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矿山超深越界检测及复核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项目立项是否规范、项目资金是否经过审批、资金是否到位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未合规1项扣2分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57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49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社会成本指标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参照关于解决矿产资源监督管理工作经费的请示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资金是否到位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未到位扣1分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57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49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生态环境成本指标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矿业权开采依法依规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/</w:t>
            </w:r>
            <w:bookmarkStart w:id="0" w:name="_GoBack"/>
            <w:bookmarkEnd w:id="0"/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57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49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产出指标</w:t>
            </w:r>
          </w:p>
        </w:tc>
        <w:tc>
          <w:tcPr>
            <w:tcW w:w="549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数量指标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矿山超深越界检测及复核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cstheme="minorEastAsia"/>
                <w:kern w:val="0"/>
                <w:sz w:val="18"/>
                <w:szCs w:val="18"/>
                <w:lang w:val="en-US" w:eastAsia="zh-CN" w:bidi="ar"/>
              </w:rPr>
              <w:t>超深越界复核是否到位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cstheme="minorEastAsia"/>
                <w:kern w:val="0"/>
                <w:sz w:val="18"/>
                <w:szCs w:val="18"/>
                <w:lang w:val="en-US" w:eastAsia="zh-CN" w:bidi="ar"/>
              </w:rPr>
              <w:t>一个矿山未到位扣1分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57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49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质量指标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矿业权开采依法依规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监管是否到位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监管不到位一项扣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57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49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时效指标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成果时效性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未按时完成扣10分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年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57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49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效益指标</w:t>
            </w:r>
          </w:p>
        </w:tc>
        <w:tc>
          <w:tcPr>
            <w:tcW w:w="549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经济效益指标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矿山超深越界检测及复核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对矿山依法依规建设影响程度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对矿山依法依规建设影响程度低于90%扣1分，低于80%扣5分，低于70%扣10分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定性定量</w:t>
            </w:r>
          </w:p>
        </w:tc>
        <w:tc>
          <w:tcPr>
            <w:tcW w:w="57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49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社会效益指标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矿山超深越界检测及复核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对矿山依法依规建设影响程度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对矿山依法依规建设影响程度低于90%扣1分，低于80%扣5分，低于70%扣10分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定性定量</w:t>
            </w:r>
          </w:p>
        </w:tc>
        <w:tc>
          <w:tcPr>
            <w:tcW w:w="57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49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生态效益指标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矿山超深越界检测及复核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对矿山依法依规建设影响程度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对矿山依法依规建设影响程度低于90%扣1分，低于80%扣5分，低于70%扣10分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定性定量</w:t>
            </w:r>
          </w:p>
        </w:tc>
        <w:tc>
          <w:tcPr>
            <w:tcW w:w="57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49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可持续影响指标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 w:asciiTheme="minorEastAsia" w:hAnsi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提高政府的公信力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 w:asciiTheme="minorEastAsia" w:hAnsi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对矿山持续建设影响程度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对矿山持续建设影响程度低于90%扣1分，低于80%扣5分，低于70%扣10分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定性定量</w:t>
            </w:r>
          </w:p>
        </w:tc>
        <w:tc>
          <w:tcPr>
            <w:tcW w:w="57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49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满意度指标</w:t>
            </w:r>
          </w:p>
        </w:tc>
        <w:tc>
          <w:tcPr>
            <w:tcW w:w="549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服务对象满意度指标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 w:asciiTheme="minorEastAsia" w:hAnsi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提高政府的公信力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 w:asciiTheme="minorEastAsia" w:hAnsi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投诉量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每增加一次投诉扣1分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宗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定性定量</w:t>
            </w:r>
          </w:p>
        </w:tc>
        <w:tc>
          <w:tcPr>
            <w:tcW w:w="57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</w:tbl>
    <w:p>
      <w:pPr>
        <w:rPr>
          <w:sz w:val="24"/>
          <w:szCs w:val="24"/>
        </w:rPr>
      </w:pPr>
    </w:p>
    <w:sectPr>
      <w:pgSz w:w="11906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3MDU3ZGNjMzBiMWE0OGQwOGQ4MThjZDkzNjI0MjYifQ=="/>
  </w:docVars>
  <w:rsids>
    <w:rsidRoot w:val="00000000"/>
    <w:rsid w:val="02800B3F"/>
    <w:rsid w:val="5ECF4299"/>
    <w:rsid w:val="706C69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EastAsia" w:hAnsiTheme="minorEastAsia" w:eastAsiaTheme="minorEastAsia" w:cstheme="minorEastAsia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716</Words>
  <Characters>797</Characters>
  <TotalTime>0</TotalTime>
  <ScaleCrop>false</ScaleCrop>
  <LinksUpToDate>false</LinksUpToDate>
  <CharactersWithSpaces>807</CharactersWithSpaces>
  <Application>WPS Office_11.1.0.13607_F1E327BC-269C-435d-A152-05C5408002CA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2022-12-30T02:34:00Z</dcterms:created>
  <dc:creator>Administrator</dc:creator>
  <cp:lastModifiedBy>Administrator</cp:lastModifiedBy>
  <dcterms:modified xsi:type="dcterms:W3CDTF">2023-01-18T09:56:23Z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2052-11.1.0.13607</vt:lpwstr>
  </property>
  <property fmtid="{D5CDD505-2E9C-101B-9397-08002B2CF9AE}" pid="3" name="ICV">
    <vt:lpwstr>AC14EFB28C3744A1AD92E726ACCA1BDC</vt:lpwstr>
  </property>
</Properties>
</file>